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8C1B" w14:textId="77777777" w:rsidR="00592861" w:rsidRDefault="001165F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Annex 3/ Додаток 3_ Lot 3/Лот 3 _ Electrical accessories and related products for electrical equipment / </w:t>
      </w:r>
      <w:r>
        <w:rPr>
          <w:rFonts w:ascii="Times New Roman" w:eastAsia="Times New Roman" w:hAnsi="Times New Roman" w:cs="Times New Roman"/>
          <w:b/>
          <w:color w:val="001D35"/>
          <w:highlight w:val="white"/>
        </w:rPr>
        <w:t xml:space="preserve">Електричне приладдя та супутні товари до електричного обладнання </w:t>
      </w:r>
    </w:p>
    <w:p w14:paraId="6FFFDDF8" w14:textId="77777777" w:rsidR="00592861" w:rsidRDefault="00592861">
      <w:pPr>
        <w:rPr>
          <w:rFonts w:ascii="Times New Roman" w:eastAsia="Times New Roman" w:hAnsi="Times New Roman" w:cs="Times New Roman"/>
          <w:b/>
        </w:rPr>
      </w:pPr>
    </w:p>
    <w:p w14:paraId="45F35E17" w14:textId="77777777" w:rsidR="00592861" w:rsidRDefault="001165F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List of necessary equipment for 10 schools and 5 institutions of the Ukrainian Institute of Postgraduate Education /Перелік обладнання для 10 навчальних закладів та 5 закладів ІППО України </w:t>
      </w:r>
    </w:p>
    <w:p w14:paraId="246D80E2" w14:textId="77777777" w:rsidR="00592861" w:rsidRDefault="00592861">
      <w:pPr>
        <w:rPr>
          <w:rFonts w:ascii="Times New Roman" w:eastAsia="Times New Roman" w:hAnsi="Times New Roman" w:cs="Times New Roman"/>
        </w:rPr>
      </w:pPr>
    </w:p>
    <w:tbl>
      <w:tblPr>
        <w:tblStyle w:val="af3"/>
        <w:tblW w:w="25383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2252"/>
        <w:gridCol w:w="3634"/>
        <w:gridCol w:w="2160"/>
        <w:gridCol w:w="930"/>
        <w:gridCol w:w="7313"/>
        <w:gridCol w:w="2112"/>
        <w:gridCol w:w="100"/>
        <w:gridCol w:w="2236"/>
        <w:gridCol w:w="100"/>
        <w:gridCol w:w="1864"/>
        <w:gridCol w:w="100"/>
        <w:gridCol w:w="1866"/>
      </w:tblGrid>
      <w:tr w:rsidR="00592861" w14:paraId="780A2CC2" w14:textId="77777777">
        <w:trPr>
          <w:trHeight w:val="566"/>
        </w:trPr>
        <w:tc>
          <w:tcPr>
            <w:tcW w:w="715" w:type="dxa"/>
            <w:shd w:val="clear" w:color="auto" w:fill="F2F2F2"/>
            <w:vAlign w:val="center"/>
          </w:tcPr>
          <w:p w14:paraId="17F6207E" w14:textId="77777777" w:rsidR="00592861" w:rsidRDefault="001165F7">
            <w:pPr>
              <w:ind w:left="6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Col. 1</w:t>
            </w:r>
          </w:p>
        </w:tc>
        <w:tc>
          <w:tcPr>
            <w:tcW w:w="2251" w:type="dxa"/>
            <w:shd w:val="clear" w:color="auto" w:fill="F2F2F2"/>
            <w:vAlign w:val="center"/>
          </w:tcPr>
          <w:p w14:paraId="584932B3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Column 2/Колонка </w:t>
            </w:r>
          </w:p>
        </w:tc>
        <w:tc>
          <w:tcPr>
            <w:tcW w:w="3633" w:type="dxa"/>
            <w:shd w:val="clear" w:color="auto" w:fill="F2F2F2"/>
            <w:vAlign w:val="center"/>
          </w:tcPr>
          <w:p w14:paraId="0B2AEE53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Column 3/Колонка 3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09058BD8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4/Колонка 4</w:t>
            </w:r>
          </w:p>
        </w:tc>
        <w:tc>
          <w:tcPr>
            <w:tcW w:w="930" w:type="dxa"/>
            <w:shd w:val="clear" w:color="auto" w:fill="F2F2F2"/>
            <w:vAlign w:val="center"/>
          </w:tcPr>
          <w:p w14:paraId="34D29EF5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ol. 5/Кол.5</w:t>
            </w:r>
          </w:p>
        </w:tc>
        <w:tc>
          <w:tcPr>
            <w:tcW w:w="7312" w:type="dxa"/>
            <w:shd w:val="clear" w:color="auto" w:fill="F2F2F2"/>
            <w:vAlign w:val="center"/>
          </w:tcPr>
          <w:p w14:paraId="0F28ED68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Column 6/Колонка 6</w:t>
            </w:r>
          </w:p>
        </w:tc>
        <w:tc>
          <w:tcPr>
            <w:tcW w:w="2212" w:type="dxa"/>
            <w:gridSpan w:val="2"/>
            <w:shd w:val="clear" w:color="auto" w:fill="F2F2F2"/>
            <w:vAlign w:val="center"/>
          </w:tcPr>
          <w:p w14:paraId="30285E70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Column7/Колонка7</w:t>
            </w:r>
          </w:p>
        </w:tc>
        <w:tc>
          <w:tcPr>
            <w:tcW w:w="2336" w:type="dxa"/>
            <w:gridSpan w:val="2"/>
            <w:shd w:val="clear" w:color="auto" w:fill="F2F2F2"/>
            <w:vAlign w:val="center"/>
          </w:tcPr>
          <w:p w14:paraId="17BBB63F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Column 8/Колонка 8</w:t>
            </w:r>
          </w:p>
        </w:tc>
        <w:tc>
          <w:tcPr>
            <w:tcW w:w="1964" w:type="dxa"/>
            <w:gridSpan w:val="2"/>
            <w:shd w:val="clear" w:color="auto" w:fill="F2F2F2"/>
            <w:vAlign w:val="center"/>
          </w:tcPr>
          <w:p w14:paraId="174B5446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Column 9/Колонка 9</w:t>
            </w:r>
          </w:p>
        </w:tc>
        <w:tc>
          <w:tcPr>
            <w:tcW w:w="1866" w:type="dxa"/>
            <w:shd w:val="clear" w:color="auto" w:fill="F2F2F2"/>
            <w:vAlign w:val="center"/>
          </w:tcPr>
          <w:p w14:paraId="3FECBC8C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Column 10/Колонка 10</w:t>
            </w:r>
          </w:p>
        </w:tc>
      </w:tr>
      <w:tr w:rsidR="00592861" w14:paraId="373DA25D" w14:textId="77777777">
        <w:trPr>
          <w:trHeight w:val="566"/>
        </w:trPr>
        <w:tc>
          <w:tcPr>
            <w:tcW w:w="715" w:type="dxa"/>
          </w:tcPr>
          <w:p w14:paraId="39640FE1" w14:textId="77777777" w:rsidR="00592861" w:rsidRDefault="00592861">
            <w:pPr>
              <w:ind w:lef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4EC1F8E3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33" w:type="dxa"/>
            <w:vAlign w:val="center"/>
          </w:tcPr>
          <w:p w14:paraId="0276079E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050EE223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270612DD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12" w:type="dxa"/>
            <w:vAlign w:val="center"/>
          </w:tcPr>
          <w:p w14:paraId="2F0E70F5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78" w:type="dxa"/>
            <w:gridSpan w:val="7"/>
            <w:shd w:val="clear" w:color="auto" w:fill="DEEBF6"/>
          </w:tcPr>
          <w:p w14:paraId="581038F0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Tenderers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fill in</w:t>
            </w:r>
          </w:p>
          <w:p w14:paraId="01652DCA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This section needs to be filled in by the Tenderer as part of their tender submission/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Для учасників</w:t>
            </w:r>
          </w:p>
          <w:p w14:paraId="219A4B0B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Цей розділ повинен бути заповнений Учасником тендеру в рамках подання тендеру</w:t>
            </w:r>
          </w:p>
        </w:tc>
      </w:tr>
      <w:tr w:rsidR="00592861" w14:paraId="7734D8DB" w14:textId="77777777">
        <w:trPr>
          <w:trHeight w:val="566"/>
        </w:trPr>
        <w:tc>
          <w:tcPr>
            <w:tcW w:w="715" w:type="dxa"/>
            <w:shd w:val="clear" w:color="auto" w:fill="E2EFD9"/>
            <w:vAlign w:val="center"/>
          </w:tcPr>
          <w:p w14:paraId="528AA60F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   </w:t>
            </w:r>
          </w:p>
        </w:tc>
        <w:tc>
          <w:tcPr>
            <w:tcW w:w="2251" w:type="dxa"/>
            <w:shd w:val="clear" w:color="auto" w:fill="E2EFD9"/>
            <w:vAlign w:val="center"/>
          </w:tcPr>
          <w:p w14:paraId="2C116E8F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Description/Назва </w:t>
            </w:r>
          </w:p>
        </w:tc>
        <w:tc>
          <w:tcPr>
            <w:tcW w:w="3633" w:type="dxa"/>
            <w:shd w:val="clear" w:color="auto" w:fill="E2EFD9"/>
            <w:vAlign w:val="center"/>
          </w:tcPr>
          <w:p w14:paraId="33CB2703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Minimum Technical Specifications/Технічні параметри</w:t>
            </w:r>
          </w:p>
        </w:tc>
        <w:tc>
          <w:tcPr>
            <w:tcW w:w="2160" w:type="dxa"/>
            <w:shd w:val="clear" w:color="auto" w:fill="E2EFD9"/>
            <w:vAlign w:val="center"/>
          </w:tcPr>
          <w:p w14:paraId="13A4675F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ЛОТИ/LOTS</w:t>
            </w:r>
          </w:p>
        </w:tc>
        <w:tc>
          <w:tcPr>
            <w:tcW w:w="930" w:type="dxa"/>
            <w:shd w:val="clear" w:color="auto" w:fill="E2EFD9"/>
            <w:vAlign w:val="center"/>
          </w:tcPr>
          <w:p w14:paraId="251E73B7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Qty/кількість</w:t>
            </w:r>
          </w:p>
        </w:tc>
        <w:tc>
          <w:tcPr>
            <w:tcW w:w="7312" w:type="dxa"/>
            <w:shd w:val="clear" w:color="auto" w:fill="E2EFD9"/>
            <w:vAlign w:val="center"/>
          </w:tcPr>
          <w:p w14:paraId="1C4A02E8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Indicative Photos/фото</w:t>
            </w:r>
          </w:p>
        </w:tc>
        <w:tc>
          <w:tcPr>
            <w:tcW w:w="2212" w:type="dxa"/>
            <w:gridSpan w:val="2"/>
            <w:shd w:val="clear" w:color="auto" w:fill="DEEBF6"/>
          </w:tcPr>
          <w:p w14:paraId="5E5E4670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Offered product brand, model and technical specifications/Запропонований товар,модель, бренд,тех.опис</w:t>
            </w:r>
          </w:p>
        </w:tc>
        <w:tc>
          <w:tcPr>
            <w:tcW w:w="2336" w:type="dxa"/>
            <w:gridSpan w:val="2"/>
            <w:shd w:val="clear" w:color="auto" w:fill="DEEBF6"/>
          </w:tcPr>
          <w:p w14:paraId="61C10D74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Warranty duration</w:t>
            </w:r>
          </w:p>
          <w:p w14:paraId="462E0204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(if required in /column 7)/гарантійни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й період</w:t>
            </w:r>
          </w:p>
        </w:tc>
        <w:tc>
          <w:tcPr>
            <w:tcW w:w="1964" w:type="dxa"/>
            <w:gridSpan w:val="2"/>
            <w:shd w:val="clear" w:color="auto" w:fill="DEEBF6"/>
          </w:tcPr>
          <w:p w14:paraId="6E103C5A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 Price</w:t>
            </w:r>
          </w:p>
          <w:p w14:paraId="7FE82DEB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(specify currency of offer)/ціна за одиницю</w:t>
            </w:r>
          </w:p>
        </w:tc>
        <w:tc>
          <w:tcPr>
            <w:tcW w:w="1866" w:type="dxa"/>
            <w:shd w:val="clear" w:color="auto" w:fill="DEEBF6"/>
          </w:tcPr>
          <w:p w14:paraId="09369FDD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Price</w:t>
            </w:r>
          </w:p>
          <w:p w14:paraId="0F9F8EC5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(specify currency of offer)/повна вартість, вкажіть валюту</w:t>
            </w:r>
          </w:p>
        </w:tc>
      </w:tr>
      <w:tr w:rsidR="00592861" w14:paraId="4B1B505B" w14:textId="77777777">
        <w:trPr>
          <w:trHeight w:val="200"/>
        </w:trPr>
        <w:tc>
          <w:tcPr>
            <w:tcW w:w="715" w:type="dxa"/>
          </w:tcPr>
          <w:p w14:paraId="417039BA" w14:textId="4B16917B" w:rsidR="00592861" w:rsidRPr="005F1375" w:rsidRDefault="005F1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2251" w:type="dxa"/>
            <w:vAlign w:val="center"/>
          </w:tcPr>
          <w:p w14:paraId="09636B44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Wi-Fi router /Бездротова точка доступу</w:t>
            </w:r>
          </w:p>
        </w:tc>
        <w:tc>
          <w:tcPr>
            <w:tcW w:w="3633" w:type="dxa"/>
            <w:vAlign w:val="center"/>
          </w:tcPr>
          <w:p w14:paraId="4616C93F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Двохдіапазонний Wi-Fi маршрутизатор з підтримкою стандартів IEEE 802.11 a/b/g/n/ac, швидкістю до 300 Мбіт/с на 2.4 ГГц і до 867 Мбіт/с на 5 ГГц, оснащений 4 зовнішніми антенами, 1 WAN і 4 LAN портами (10/100/1000 Мбіт/с), підтримкою MU-MIMO, IPv6, WPA/WPA2</w:t>
            </w:r>
            <w:r>
              <w:rPr>
                <w:rFonts w:ascii="Times New Roman" w:eastAsia="Times New Roman" w:hAnsi="Times New Roman" w:cs="Times New Roman"/>
              </w:rPr>
              <w:t>, режимами роутера, точки доступу та ретранслятора, керуванням через веб-інтерфейс або застосунок, з гарантією не менше 12 міс /</w:t>
            </w:r>
          </w:p>
          <w:p w14:paraId="733362E8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  <w:p w14:paraId="15664323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Dual-band Wi-Fi router with support for IEEE 802.11 a/b/g/n/ac standards, speeds up to 300 Mbps at 2.4 GHz and up to 867 Mbps </w:t>
            </w:r>
            <w:r>
              <w:rPr>
                <w:rFonts w:ascii="Times New Roman" w:eastAsia="Times New Roman" w:hAnsi="Times New Roman" w:cs="Times New Roman"/>
              </w:rPr>
              <w:t>at 5 GHz, equipped with 4 external antennas, 1 WAN and 4 LAN ports (10/100/1000 Mbps), support for MU-MIMO, IPv6, WPA/WPA2, router, access point and repeater modes, management via web interface or application, with a warranty of at least 12 months</w:t>
            </w:r>
          </w:p>
          <w:p w14:paraId="0F2A5C13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  <w:p w14:paraId="671B0DE1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13F06DCC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 ЛОТ №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3/LOT #3</w:t>
            </w:r>
          </w:p>
          <w:p w14:paraId="09B0E4A8" w14:textId="77777777" w:rsidR="00592861" w:rsidRDefault="005928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6240C7B0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12" w:type="dxa"/>
          </w:tcPr>
          <w:p w14:paraId="6A398FCA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704F36C3" wp14:editId="29F4BBB2">
                  <wp:extent cx="4533900" cy="4533900"/>
                  <wp:effectExtent l="0" t="0" r="0" b="0"/>
                  <wp:docPr id="21084456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453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3D4E24F4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14:paraId="79EC860B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2"/>
          </w:tcPr>
          <w:p w14:paraId="01DF594C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2"/>
          </w:tcPr>
          <w:p w14:paraId="7071717A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2861" w14:paraId="0B135F15" w14:textId="77777777">
        <w:trPr>
          <w:trHeight w:val="200"/>
        </w:trPr>
        <w:tc>
          <w:tcPr>
            <w:tcW w:w="715" w:type="dxa"/>
          </w:tcPr>
          <w:p w14:paraId="71E6875A" w14:textId="5A37448B" w:rsidR="00592861" w:rsidRPr="005F1375" w:rsidRDefault="005F1375" w:rsidP="005F1375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2251" w:type="dxa"/>
            <w:vAlign w:val="center"/>
          </w:tcPr>
          <w:p w14:paraId="33E36ECC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Tabletop water cooler /Кулер для води настільний</w:t>
            </w:r>
          </w:p>
        </w:tc>
        <w:tc>
          <w:tcPr>
            <w:tcW w:w="3633" w:type="dxa"/>
            <w:vAlign w:val="center"/>
          </w:tcPr>
          <w:p w14:paraId="371E5F8D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Кулер для води настільний  (нагрівання та охолодження)  Габарити- 270х300х430(Н) мм                          </w:t>
            </w:r>
          </w:p>
          <w:p w14:paraId="23447D17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встановлення- настільний</w:t>
            </w:r>
          </w:p>
          <w:p w14:paraId="157F9F2B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Розташування бутля- Зовнішнє верхнє</w:t>
            </w:r>
          </w:p>
          <w:p w14:paraId="5C09F6DB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Тип- Кулер (диспенсер)</w:t>
            </w:r>
          </w:p>
          <w:p w14:paraId="05501F48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охолодження- електронний /</w:t>
            </w:r>
          </w:p>
          <w:p w14:paraId="6DCCB9F6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070408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Desktop water cooler (hea</w:t>
            </w:r>
            <w:r>
              <w:rPr>
                <w:rFonts w:ascii="Times New Roman" w:eastAsia="Times New Roman" w:hAnsi="Times New Roman" w:cs="Times New Roman"/>
              </w:rPr>
              <w:t xml:space="preserve">ting and cooling) </w:t>
            </w:r>
          </w:p>
          <w:p w14:paraId="423295E0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Dimensions - 270x300x430(H) mm. Installation type - desktop</w:t>
            </w:r>
          </w:p>
          <w:p w14:paraId="29AC8C97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Bottle location - External top</w:t>
            </w:r>
          </w:p>
          <w:p w14:paraId="5B9A4B01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 - Cooler (dispenser)</w:t>
            </w:r>
          </w:p>
          <w:p w14:paraId="493C5083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Cooling type - electronic</w:t>
            </w:r>
          </w:p>
          <w:p w14:paraId="29E981B1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E211D71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 ЛОТ №3/LOT #3</w:t>
            </w:r>
          </w:p>
          <w:p w14:paraId="57737674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</w:p>
          <w:p w14:paraId="03942A78" w14:textId="77777777" w:rsidR="00592861" w:rsidRDefault="005928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662DE767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12" w:type="dxa"/>
          </w:tcPr>
          <w:p w14:paraId="0A1341E6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2CD16206" wp14:editId="77AA4928">
                  <wp:extent cx="2609850" cy="4133520"/>
                  <wp:effectExtent l="0" t="0" r="0" b="0"/>
                  <wp:docPr id="21084456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413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1FD3C21D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14:paraId="19CA96CC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2"/>
          </w:tcPr>
          <w:p w14:paraId="0C07D5CC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2"/>
          </w:tcPr>
          <w:p w14:paraId="23A1A3BD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2861" w14:paraId="3718576F" w14:textId="77777777">
        <w:trPr>
          <w:trHeight w:val="200"/>
        </w:trPr>
        <w:tc>
          <w:tcPr>
            <w:tcW w:w="715" w:type="dxa"/>
          </w:tcPr>
          <w:p w14:paraId="01335ECE" w14:textId="1F90822C" w:rsidR="00592861" w:rsidRPr="005F1375" w:rsidRDefault="005F1375">
            <w:pPr>
              <w:ind w:left="141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251" w:type="dxa"/>
            <w:vAlign w:val="center"/>
          </w:tcPr>
          <w:p w14:paraId="2AC8C4D4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Floor-standing water cooler /Підлоговий кулер для води з нижнім завантаженням бутля</w:t>
            </w:r>
          </w:p>
        </w:tc>
        <w:tc>
          <w:tcPr>
            <w:tcW w:w="3633" w:type="dxa"/>
            <w:vAlign w:val="center"/>
          </w:tcPr>
          <w:p w14:paraId="7333B123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Підлоговий кулер для води з нижнім завантаженням бутля ABC V170E, або аналог, з трьома кранами для подачі гарячої, холодної та води кімнатної температури, оснащений захисто</w:t>
            </w:r>
            <w:r>
              <w:rPr>
                <w:rFonts w:ascii="Times New Roman" w:eastAsia="Times New Roman" w:hAnsi="Times New Roman" w:cs="Times New Roman"/>
              </w:rPr>
              <w:t>м від перегріву та дитячим замком на гарячу воду, з електронною або компресорною системою охолодження, температурою нагріву не нижче +85°C та охолодження не вище +15°C, продуктивністю нагріву не менше 4 л/год та охолодження не менше 2 л/год, індикаторами р</w:t>
            </w:r>
            <w:r>
              <w:rPr>
                <w:rFonts w:ascii="Times New Roman" w:eastAsia="Times New Roman" w:hAnsi="Times New Roman" w:cs="Times New Roman"/>
              </w:rPr>
              <w:t>оботи, знімним лотком для збору крапель, корпусом з металу або металопластику нейтрального кольору (білий, сірий, чорний), сумісний з бутлями об’ємом 18,9 л зі стандартним горлом 55 мм, з живленням 220 В /</w:t>
            </w:r>
          </w:p>
          <w:p w14:paraId="211F72EE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  <w:p w14:paraId="4E88E336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Floor-standing water cooler with bottom loading o</w:t>
            </w:r>
            <w:r>
              <w:rPr>
                <w:rFonts w:ascii="Times New Roman" w:eastAsia="Times New Roman" w:hAnsi="Times New Roman" w:cs="Times New Roman"/>
              </w:rPr>
              <w:t>f the ABC V170E bottle, or similar, with three taps for supplying hot, cold and room temperature water, equipped with overheating protection and a child lock for hot water, with an electronic or compressor cooling system, heating temperature not lower than</w:t>
            </w:r>
            <w:r>
              <w:rPr>
                <w:rFonts w:ascii="Times New Roman" w:eastAsia="Times New Roman" w:hAnsi="Times New Roman" w:cs="Times New Roman"/>
              </w:rPr>
              <w:t xml:space="preserve"> +85°C and cooling not higher than +15°C, heating capacity not less than 4 l/h and cooling capacity not less than 2 l/h, operation indicators, removable drip tray,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metal or metal-plastic housing in neutral color (white, gray, black), compatible with 18.9 l</w:t>
            </w:r>
            <w:r>
              <w:rPr>
                <w:rFonts w:ascii="Times New Roman" w:eastAsia="Times New Roman" w:hAnsi="Times New Roman" w:cs="Times New Roman"/>
              </w:rPr>
              <w:t xml:space="preserve"> bottles with a standard 55 mm neck, with 220 V power supply</w:t>
            </w:r>
          </w:p>
        </w:tc>
        <w:tc>
          <w:tcPr>
            <w:tcW w:w="2160" w:type="dxa"/>
            <w:vAlign w:val="center"/>
          </w:tcPr>
          <w:p w14:paraId="748164C8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lastRenderedPageBreak/>
              <w:t> ЛОТ №3/LOT #3</w:t>
            </w:r>
          </w:p>
          <w:p w14:paraId="23044884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</w:p>
          <w:p w14:paraId="765EAD2B" w14:textId="77777777" w:rsidR="00592861" w:rsidRDefault="005928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292633D2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12" w:type="dxa"/>
          </w:tcPr>
          <w:p w14:paraId="399EDA07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5AC58096" wp14:editId="65E2DA79">
                  <wp:extent cx="2701925" cy="4052888"/>
                  <wp:effectExtent l="0" t="0" r="0" b="0"/>
                  <wp:docPr id="21084456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5" cy="4052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1E1F171C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14:paraId="29C65B79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2"/>
          </w:tcPr>
          <w:p w14:paraId="39B003AE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2"/>
          </w:tcPr>
          <w:p w14:paraId="3089F212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2861" w14:paraId="126AD1E3" w14:textId="77777777">
        <w:trPr>
          <w:trHeight w:val="200"/>
        </w:trPr>
        <w:tc>
          <w:tcPr>
            <w:tcW w:w="715" w:type="dxa"/>
          </w:tcPr>
          <w:p w14:paraId="3BDF0E53" w14:textId="05DEA0D0" w:rsidR="00592861" w:rsidRDefault="001165F7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1" w:type="dxa"/>
            <w:vAlign w:val="center"/>
          </w:tcPr>
          <w:p w14:paraId="77354730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Сonditioner/</w:t>
            </w:r>
          </w:p>
          <w:p w14:paraId="51F8EFC0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Кондиціонер</w:t>
            </w:r>
          </w:p>
        </w:tc>
        <w:tc>
          <w:tcPr>
            <w:tcW w:w="3633" w:type="dxa"/>
            <w:vAlign w:val="center"/>
          </w:tcPr>
          <w:p w14:paraId="56128791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Зовнішній блок + 2 внутрішні, охолодження до 5.3 кВт / </w:t>
            </w:r>
          </w:p>
          <w:p w14:paraId="1FE7B851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  <w:p w14:paraId="1796D1D2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Outdoor unit + 2 indoor units, cooling up to 5.3 kW</w:t>
            </w:r>
          </w:p>
        </w:tc>
        <w:tc>
          <w:tcPr>
            <w:tcW w:w="2160" w:type="dxa"/>
            <w:vAlign w:val="center"/>
          </w:tcPr>
          <w:p w14:paraId="0FFC2954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 ЛОТ №3/LOT #3</w:t>
            </w:r>
          </w:p>
          <w:p w14:paraId="57CA2C4B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</w:p>
          <w:p w14:paraId="02121C9B" w14:textId="77777777" w:rsidR="00592861" w:rsidRDefault="005928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0BE0143E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2" w:type="dxa"/>
          </w:tcPr>
          <w:p w14:paraId="2E754F44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4AE447F2" wp14:editId="32A8EFA6">
                  <wp:extent cx="4035425" cy="4035425"/>
                  <wp:effectExtent l="0" t="0" r="0" b="0"/>
                  <wp:docPr id="210844563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425" cy="403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656EABC6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14:paraId="61C0B1D8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2"/>
          </w:tcPr>
          <w:p w14:paraId="387384A2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2"/>
          </w:tcPr>
          <w:p w14:paraId="42B41A89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2861" w14:paraId="0096E61D" w14:textId="77777777">
        <w:trPr>
          <w:trHeight w:val="200"/>
        </w:trPr>
        <w:tc>
          <w:tcPr>
            <w:tcW w:w="715" w:type="dxa"/>
          </w:tcPr>
          <w:p w14:paraId="2702BC52" w14:textId="07DA60EB" w:rsidR="00592861" w:rsidRPr="005F1375" w:rsidRDefault="005F1375">
            <w:pPr>
              <w:ind w:left="141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251" w:type="dxa"/>
            <w:vAlign w:val="center"/>
          </w:tcPr>
          <w:p w14:paraId="2EFF5AE0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Automatic coffee machine with built-in burr grinder/</w:t>
            </w:r>
          </w:p>
          <w:p w14:paraId="154E08FC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Кавомашина автоматична </w:t>
            </w:r>
          </w:p>
        </w:tc>
        <w:tc>
          <w:tcPr>
            <w:tcW w:w="3633" w:type="dxa"/>
            <w:vAlign w:val="center"/>
          </w:tcPr>
          <w:p w14:paraId="6DBB7B91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Вбудований жорновий кавомол, призначена для приготування еспресо, капучино, латте та інших напоїв, з тиском не менше 15 бар, резервуаром для води об’ємом не менше 1.8 л, контейнером для зерен від 250 г, кольоровим дисплеєм та сенсорним керуванням, автомати</w:t>
            </w:r>
            <w:r>
              <w:rPr>
                <w:rFonts w:ascii="Times New Roman" w:eastAsia="Times New Roman" w:hAnsi="Times New Roman" w:cs="Times New Roman"/>
              </w:rPr>
              <w:t xml:space="preserve">чною системою очищення, знімним заварювальним блоком та можливістю індивідуального налаштування міцності кави, температури і об’єму порції / </w:t>
            </w:r>
          </w:p>
          <w:p w14:paraId="4C806994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  <w:p w14:paraId="755F2F00" w14:textId="77777777" w:rsidR="00592861" w:rsidRDefault="00116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Built-in coffee grinder, designed for making espresso, cappuccino, latte and other drinks, with a pressure of at </w:t>
            </w:r>
            <w:r>
              <w:rPr>
                <w:rFonts w:ascii="Times New Roman" w:eastAsia="Times New Roman" w:hAnsi="Times New Roman" w:cs="Times New Roman"/>
              </w:rPr>
              <w:t>least 15 bar, a water tank with a volume of at least 1.8 l, a bean container from 250 g, a color display and touch control, an automatic cleaning system, a removable brewing unit and the ability to individually adjust coffee strength, temperature and porti</w:t>
            </w:r>
            <w:r>
              <w:rPr>
                <w:rFonts w:ascii="Times New Roman" w:eastAsia="Times New Roman" w:hAnsi="Times New Roman" w:cs="Times New Roman"/>
              </w:rPr>
              <w:t>on size</w:t>
            </w:r>
          </w:p>
        </w:tc>
        <w:tc>
          <w:tcPr>
            <w:tcW w:w="2160" w:type="dxa"/>
            <w:vAlign w:val="center"/>
          </w:tcPr>
          <w:p w14:paraId="5F9B03D7" w14:textId="77777777" w:rsidR="00592861" w:rsidRDefault="001165F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 ЛОТ №3/LOT #3</w:t>
            </w:r>
          </w:p>
          <w:p w14:paraId="58EF3E39" w14:textId="77777777" w:rsidR="00592861" w:rsidRDefault="0059286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</w:p>
          <w:p w14:paraId="6D32F8DB" w14:textId="77777777" w:rsidR="00592861" w:rsidRDefault="005928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5781D5D4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12" w:type="dxa"/>
          </w:tcPr>
          <w:p w14:paraId="2AF511FD" w14:textId="77777777" w:rsidR="00592861" w:rsidRDefault="00116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15FE79E4" wp14:editId="5E96D759">
                  <wp:extent cx="4533900" cy="3644900"/>
                  <wp:effectExtent l="0" t="0" r="0" b="0"/>
                  <wp:docPr id="21084456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4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14:paraId="16BFE6F0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14:paraId="5B0B385D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2"/>
          </w:tcPr>
          <w:p w14:paraId="587E23F2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2"/>
          </w:tcPr>
          <w:p w14:paraId="7A35E4C9" w14:textId="77777777" w:rsidR="00592861" w:rsidRDefault="0059286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069A03" w14:textId="77777777" w:rsidR="00592861" w:rsidRDefault="00592861">
      <w:pPr>
        <w:rPr>
          <w:rFonts w:ascii="Times New Roman" w:eastAsia="Times New Roman" w:hAnsi="Times New Roman" w:cs="Times New Roman"/>
        </w:rPr>
      </w:pPr>
    </w:p>
    <w:sectPr w:rsidR="00592861">
      <w:headerReference w:type="default" r:id="rId12"/>
      <w:footerReference w:type="default" r:id="rId13"/>
      <w:pgSz w:w="27360" w:h="16834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7C21" w14:textId="77777777" w:rsidR="001165F7" w:rsidRDefault="001165F7">
      <w:r>
        <w:separator/>
      </w:r>
    </w:p>
  </w:endnote>
  <w:endnote w:type="continuationSeparator" w:id="0">
    <w:p w14:paraId="12BEBA06" w14:textId="77777777" w:rsidR="001165F7" w:rsidRDefault="0011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EEC3" w14:textId="77777777" w:rsidR="00592861" w:rsidRDefault="001165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137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F1375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F179" w14:textId="77777777" w:rsidR="001165F7" w:rsidRDefault="001165F7">
      <w:r>
        <w:separator/>
      </w:r>
    </w:p>
  </w:footnote>
  <w:footnote w:type="continuationSeparator" w:id="0">
    <w:p w14:paraId="2FFCC7D5" w14:textId="77777777" w:rsidR="001165F7" w:rsidRDefault="0011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F36F" w14:textId="77777777" w:rsidR="00592861" w:rsidRDefault="001165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Annex 3 /Додаток 3 _ Lot 3/Лот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61"/>
    <w:rsid w:val="001165F7"/>
    <w:rsid w:val="00592861"/>
    <w:rsid w:val="005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EF25"/>
  <w15:docId w15:val="{BB427042-E3C1-42ED-B4B6-FC24025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75164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75164"/>
    <w:rPr>
      <w:lang w:val="en-GB"/>
    </w:rPr>
  </w:style>
  <w:style w:type="paragraph" w:styleId="a6">
    <w:name w:val="footer"/>
    <w:basedOn w:val="a"/>
    <w:link w:val="a7"/>
    <w:uiPriority w:val="99"/>
    <w:unhideWhenUsed/>
    <w:rsid w:val="0067516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75164"/>
    <w:rPr>
      <w:lang w:val="en-GB"/>
    </w:rPr>
  </w:style>
  <w:style w:type="character" w:styleId="a8">
    <w:name w:val="Hyperlink"/>
    <w:basedOn w:val="a0"/>
    <w:uiPriority w:val="99"/>
    <w:semiHidden/>
    <w:unhideWhenUsed/>
    <w:rsid w:val="00DB6D6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B6D6C"/>
    <w:rPr>
      <w:color w:val="800080"/>
      <w:u w:val="single"/>
    </w:rPr>
  </w:style>
  <w:style w:type="paragraph" w:customStyle="1" w:styleId="msonormal0">
    <w:name w:val="msonormal"/>
    <w:basedOn w:val="a"/>
    <w:rsid w:val="00DB6D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DB6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l67">
    <w:name w:val="xl67"/>
    <w:basedOn w:val="a"/>
    <w:rsid w:val="00DB6D6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68">
    <w:name w:val="xl68"/>
    <w:basedOn w:val="a"/>
    <w:rsid w:val="00DB6D6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l69">
    <w:name w:val="xl69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0">
    <w:name w:val="xl70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1">
    <w:name w:val="xl71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2">
    <w:name w:val="xl72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3">
    <w:name w:val="xl73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4">
    <w:name w:val="xl74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5">
    <w:name w:val="xl75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6">
    <w:name w:val="xl76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7">
    <w:name w:val="xl77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8">
    <w:name w:val="xl78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en-US"/>
    </w:rPr>
  </w:style>
  <w:style w:type="paragraph" w:customStyle="1" w:styleId="xl79">
    <w:name w:val="xl79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0">
    <w:name w:val="xl80"/>
    <w:basedOn w:val="a"/>
    <w:rsid w:val="00DB6D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81">
    <w:name w:val="xl81"/>
    <w:basedOn w:val="a"/>
    <w:rsid w:val="00DB6D6C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2">
    <w:name w:val="xl82"/>
    <w:basedOn w:val="a"/>
    <w:rsid w:val="00DB6D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83">
    <w:name w:val="xl83"/>
    <w:basedOn w:val="a"/>
    <w:rsid w:val="00DB6D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4">
    <w:name w:val="xl84"/>
    <w:basedOn w:val="a"/>
    <w:rsid w:val="00DB6D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5">
    <w:name w:val="xl85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6">
    <w:name w:val="xl86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7">
    <w:name w:val="xl87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DB6D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74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3A9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D28B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D28B7"/>
  </w:style>
  <w:style w:type="character" w:customStyle="1" w:styleId="ae">
    <w:name w:val="Текст примітки Знак"/>
    <w:basedOn w:val="a0"/>
    <w:link w:val="ad"/>
    <w:uiPriority w:val="99"/>
    <w:rsid w:val="00ED28B7"/>
    <w:rPr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8B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D28B7"/>
    <w:rPr>
      <w:b/>
      <w:bCs/>
      <w:szCs w:val="20"/>
      <w:lang w:val="en-GB"/>
    </w:rPr>
  </w:style>
  <w:style w:type="table" w:customStyle="1" w:styleId="af1">
    <w:basedOn w:val="a1"/>
    <w:tblPr>
      <w:tblStyleRowBandSize w:val="1"/>
      <w:tblStyleColBandSize w:val="1"/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7WDAblFiLvICYqfiMZ4YQtv6A==">CgMxLjA4AHIhMVVLcTBNQW1WYUUyV0kxVHA1UXhIOHQ0MUwwSEZDMzRn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3122</Words>
  <Characters>1781</Characters>
  <Application>Microsoft Office Word</Application>
  <DocSecurity>0</DocSecurity>
  <Lines>14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Uluc Baslanti</dc:creator>
  <cp:lastModifiedBy>Віта</cp:lastModifiedBy>
  <cp:revision>2</cp:revision>
  <dcterms:created xsi:type="dcterms:W3CDTF">2024-06-21T08:19:00Z</dcterms:created>
  <dcterms:modified xsi:type="dcterms:W3CDTF">2025-08-26T13:12:00Z</dcterms:modified>
</cp:coreProperties>
</file>